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0F4887">
        <w:rPr>
          <w:rFonts w:cstheme="minorBidi"/>
        </w:rPr>
        <w:t xml:space="preserve"> 55</w:t>
      </w:r>
      <w:r w:rsidR="00E44296">
        <w:rPr>
          <w:rFonts w:cstheme="minorBidi"/>
        </w:rPr>
        <w:t>.0</w:t>
      </w:r>
      <w:r w:rsidR="00705BFF" w:rsidRPr="00705BFF">
        <w:rPr>
          <w:rFonts w:cstheme="minorBidi"/>
        </w:rPr>
        <w:t>–</w:t>
      </w:r>
      <w:r w:rsidR="002B72EB">
        <w:rPr>
          <w:rFonts w:cstheme="minorBidi"/>
        </w:rPr>
        <w:t xml:space="preserve"> </w:t>
      </w:r>
      <w:r w:rsidR="000F4887">
        <w:rPr>
          <w:rFonts w:cstheme="minorBidi"/>
        </w:rPr>
        <w:t>12 maja</w:t>
      </w:r>
      <w:bookmarkStart w:id="1" w:name="_GoBack"/>
      <w:bookmarkEnd w:id="1"/>
      <w:r w:rsidR="004F2D4A">
        <w:rPr>
          <w:rFonts w:cstheme="minorBidi"/>
        </w:rPr>
        <w:t xml:space="preserve"> </w:t>
      </w:r>
      <w:r w:rsidR="0007782A">
        <w:rPr>
          <w:rFonts w:cstheme="minorBidi"/>
        </w:rPr>
        <w:t>2021</w:t>
      </w:r>
      <w:r w:rsidR="001923DA">
        <w:rPr>
          <w:rFonts w:cstheme="minorBidi"/>
        </w:rPr>
        <w:t xml:space="preserve">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0F4887">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7C0926">
              <w:rPr>
                <w:noProof/>
                <w:webHidden/>
              </w:rPr>
              <w:fldChar w:fldCharType="begin"/>
            </w:r>
            <w:r w:rsidR="00DD4274">
              <w:rPr>
                <w:noProof/>
                <w:webHidden/>
              </w:rPr>
              <w:instrText xml:space="preserve"> PAGEREF _Toc500928476 \h </w:instrText>
            </w:r>
            <w:r w:rsidR="007C0926">
              <w:rPr>
                <w:noProof/>
                <w:webHidden/>
              </w:rPr>
            </w:r>
            <w:r w:rsidR="007C0926">
              <w:rPr>
                <w:noProof/>
                <w:webHidden/>
              </w:rPr>
              <w:fldChar w:fldCharType="separate"/>
            </w:r>
            <w:r w:rsidR="00147C73">
              <w:rPr>
                <w:noProof/>
                <w:webHidden/>
              </w:rPr>
              <w:t>3</w:t>
            </w:r>
            <w:r w:rsidR="007C0926">
              <w:rPr>
                <w:noProof/>
                <w:webHidden/>
              </w:rPr>
              <w:fldChar w:fldCharType="end"/>
            </w:r>
          </w:hyperlink>
        </w:p>
        <w:p w:rsidR="00DD4274" w:rsidRDefault="000F4887">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7C0926">
              <w:rPr>
                <w:noProof/>
                <w:webHidden/>
              </w:rPr>
              <w:fldChar w:fldCharType="begin"/>
            </w:r>
            <w:r w:rsidR="00DD4274">
              <w:rPr>
                <w:noProof/>
                <w:webHidden/>
              </w:rPr>
              <w:instrText xml:space="preserve"> PAGEREF _Toc500928477 \h </w:instrText>
            </w:r>
            <w:r w:rsidR="007C0926">
              <w:rPr>
                <w:noProof/>
                <w:webHidden/>
              </w:rPr>
            </w:r>
            <w:r w:rsidR="007C0926">
              <w:rPr>
                <w:noProof/>
                <w:webHidden/>
              </w:rPr>
              <w:fldChar w:fldCharType="separate"/>
            </w:r>
            <w:r w:rsidR="00147C73">
              <w:rPr>
                <w:noProof/>
                <w:webHidden/>
              </w:rPr>
              <w:t>9</w:t>
            </w:r>
            <w:r w:rsidR="007C0926">
              <w:rPr>
                <w:noProof/>
                <w:webHidden/>
              </w:rPr>
              <w:fldChar w:fldCharType="end"/>
            </w:r>
          </w:hyperlink>
        </w:p>
        <w:p w:rsidR="00DD4274" w:rsidRDefault="000F4887">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7C0926">
              <w:rPr>
                <w:noProof/>
                <w:webHidden/>
              </w:rPr>
              <w:fldChar w:fldCharType="begin"/>
            </w:r>
            <w:r w:rsidR="00DD4274">
              <w:rPr>
                <w:noProof/>
                <w:webHidden/>
              </w:rPr>
              <w:instrText xml:space="preserve"> PAGEREF _Toc500928478 \h </w:instrText>
            </w:r>
            <w:r w:rsidR="007C0926">
              <w:rPr>
                <w:noProof/>
                <w:webHidden/>
              </w:rPr>
            </w:r>
            <w:r w:rsidR="007C0926">
              <w:rPr>
                <w:noProof/>
                <w:webHidden/>
              </w:rPr>
              <w:fldChar w:fldCharType="separate"/>
            </w:r>
            <w:r w:rsidR="00147C73">
              <w:rPr>
                <w:noProof/>
                <w:webHidden/>
              </w:rPr>
              <w:t>15</w:t>
            </w:r>
            <w:r w:rsidR="007C0926">
              <w:rPr>
                <w:noProof/>
                <w:webHidden/>
              </w:rPr>
              <w:fldChar w:fldCharType="end"/>
            </w:r>
          </w:hyperlink>
        </w:p>
        <w:p w:rsidR="00DD4274" w:rsidRDefault="000F4887">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7C0926">
              <w:rPr>
                <w:noProof/>
                <w:webHidden/>
              </w:rPr>
              <w:fldChar w:fldCharType="begin"/>
            </w:r>
            <w:r w:rsidR="00DD4274">
              <w:rPr>
                <w:noProof/>
                <w:webHidden/>
              </w:rPr>
              <w:instrText xml:space="preserve"> PAGEREF _Toc500928479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0F4887">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7C0926">
              <w:rPr>
                <w:noProof/>
                <w:webHidden/>
              </w:rPr>
              <w:fldChar w:fldCharType="begin"/>
            </w:r>
            <w:r w:rsidR="00DD4274">
              <w:rPr>
                <w:noProof/>
                <w:webHidden/>
              </w:rPr>
              <w:instrText xml:space="preserve"> PAGEREF _Toc500928480 \h </w:instrText>
            </w:r>
            <w:r w:rsidR="007C0926">
              <w:rPr>
                <w:noProof/>
                <w:webHidden/>
              </w:rPr>
            </w:r>
            <w:r w:rsidR="007C0926">
              <w:rPr>
                <w:noProof/>
                <w:webHidden/>
              </w:rPr>
              <w:fldChar w:fldCharType="separate"/>
            </w:r>
            <w:r w:rsidR="00147C73">
              <w:rPr>
                <w:noProof/>
                <w:webHidden/>
              </w:rPr>
              <w:t>16</w:t>
            </w:r>
            <w:r w:rsidR="007C0926">
              <w:rPr>
                <w:noProof/>
                <w:webHidden/>
              </w:rPr>
              <w:fldChar w:fldCharType="end"/>
            </w:r>
          </w:hyperlink>
        </w:p>
        <w:p w:rsidR="00DD4274" w:rsidRDefault="000F4887">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7C0926">
              <w:rPr>
                <w:noProof/>
                <w:webHidden/>
              </w:rPr>
              <w:fldChar w:fldCharType="begin"/>
            </w:r>
            <w:r w:rsidR="00DD4274">
              <w:rPr>
                <w:noProof/>
                <w:webHidden/>
              </w:rPr>
              <w:instrText xml:space="preserve"> PAGEREF _Toc500928481 \h </w:instrText>
            </w:r>
            <w:r w:rsidR="007C0926">
              <w:rPr>
                <w:noProof/>
                <w:webHidden/>
              </w:rPr>
            </w:r>
            <w:r w:rsidR="007C0926">
              <w:rPr>
                <w:noProof/>
                <w:webHidden/>
              </w:rPr>
              <w:fldChar w:fldCharType="separate"/>
            </w:r>
            <w:r w:rsidR="00147C73">
              <w:rPr>
                <w:noProof/>
                <w:webHidden/>
              </w:rPr>
              <w:t>21</w:t>
            </w:r>
            <w:r w:rsidR="007C0926">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w:t>
      </w:r>
      <w:proofErr w:type="spellStart"/>
      <w:r w:rsidRPr="006A6F98">
        <w:rPr>
          <w:bCs/>
        </w:rPr>
        <w:t>Europejskiegoi</w:t>
      </w:r>
      <w:proofErr w:type="spellEnd"/>
      <w:r w:rsidRPr="006A6F98">
        <w:rPr>
          <w:bCs/>
        </w:rPr>
        <w:t xml:space="preserve">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EURATOM) NR 966/2012 z dnia 25 października 2012 r. w sprawie zasad finansowych mających zastosowanie do budżetu ogólnego Unii oraz uchylające rozporządzenie Rady (WE, </w:t>
      </w:r>
      <w:proofErr w:type="spellStart"/>
      <w:r w:rsidRPr="006A6F98">
        <w:rPr>
          <w:rFonts w:cstheme="minorBidi"/>
          <w:bCs/>
        </w:rPr>
        <w:t>Euratom</w:t>
      </w:r>
      <w:proofErr w:type="spellEnd"/>
      <w:r w:rsidRPr="006A6F98">
        <w:rPr>
          <w:rFonts w:cstheme="minorBidi"/>
          <w:bCs/>
        </w:rPr>
        <w:t>)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480/2014 z dnia 3 marca 2014 r. uzupełniające rozporządzenie Parlamentu Europejskiego i Rady (UE) nr 1303/2013 </w:t>
      </w:r>
      <w:proofErr w:type="spellStart"/>
      <w:r w:rsidRPr="006A6F98">
        <w:rPr>
          <w:rFonts w:cstheme="minorBidi"/>
          <w:bCs/>
        </w:rPr>
        <w:t>ustanawiającewspólneprzepisy</w:t>
      </w:r>
      <w:proofErr w:type="spellEnd"/>
      <w:r w:rsidRPr="006A6F98">
        <w:rPr>
          <w:rFonts w:cstheme="minorBidi"/>
          <w:bCs/>
        </w:rPr>
        <w:t xml:space="preserve">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 z dnia .... Warunki i procedury stosowane </w:t>
      </w:r>
      <w:proofErr w:type="spellStart"/>
      <w:r w:rsidRPr="006A6F98">
        <w:rPr>
          <w:rFonts w:cstheme="minorBidi"/>
          <w:bCs/>
        </w:rPr>
        <w:t>wcelu</w:t>
      </w:r>
      <w:proofErr w:type="spellEnd"/>
      <w:r w:rsidRPr="006A6F98">
        <w:rPr>
          <w:rFonts w:cstheme="minorBidi"/>
          <w:bCs/>
        </w:rPr>
        <w:t xml:space="preserve"> ustalenia, czy kwoty, </w:t>
      </w:r>
      <w:proofErr w:type="spellStart"/>
      <w:r w:rsidRPr="006A6F98">
        <w:rPr>
          <w:rFonts w:cstheme="minorBidi"/>
          <w:bCs/>
        </w:rPr>
        <w:t>którychniemożnaodzyskać</w:t>
      </w:r>
      <w:proofErr w:type="spellEnd"/>
      <w:r w:rsidRPr="006A6F98">
        <w:rPr>
          <w:rFonts w:cstheme="minorBidi"/>
          <w:bCs/>
        </w:rPr>
        <w:t>,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 xml:space="preserve">nr1299/2013w sprawieprzepisówszczegółowychdotyczącychwsparciazEuropejskiegoFunduszuRozwoju </w:t>
      </w:r>
      <w:proofErr w:type="spellStart"/>
      <w:r w:rsidRPr="006A6F98">
        <w:rPr>
          <w:rFonts w:cstheme="minorBidi"/>
          <w:bCs/>
        </w:rPr>
        <w:t>Regionalnegowramachcelu„Europejskawspółpracaterytorialna</w:t>
      </w:r>
      <w:proofErr w:type="spellEnd"/>
      <w:r w:rsidRPr="006A6F98">
        <w:rPr>
          <w:rFonts w:cstheme="minorBidi"/>
          <w:bCs/>
        </w:rPr>
        <w:t xml:space="preserve">” </w:t>
      </w:r>
      <w:proofErr w:type="spellStart"/>
      <w:r w:rsidRPr="006A6F98">
        <w:rPr>
          <w:rFonts w:cstheme="minorBidi"/>
          <w:bCs/>
        </w:rPr>
        <w:t>klasyfikacjękategoriiinterwencjidlawsparcia</w:t>
      </w:r>
      <w:proofErr w:type="spellEnd"/>
      <w:r w:rsidRPr="006A6F98">
        <w:rPr>
          <w:rFonts w:cstheme="minorBidi"/>
          <w:bCs/>
        </w:rPr>
        <w:t xml:space="preserve">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wykonawcze Komisji (UE) NR 215/2014 z dnia 7 marca 2014 r. </w:t>
      </w:r>
      <w:proofErr w:type="spellStart"/>
      <w:r w:rsidRPr="00E74B28">
        <w:rPr>
          <w:rFonts w:cstheme="minorBidi"/>
          <w:bCs/>
        </w:rPr>
        <w:t>ustanawiającezasadywykonania</w:t>
      </w:r>
      <w:proofErr w:type="spellEnd"/>
      <w:r w:rsidRPr="00E74B28">
        <w:rPr>
          <w:rFonts w:cstheme="minorBidi"/>
          <w:bCs/>
        </w:rPr>
        <w:t xml:space="preserve">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proofErr w:type="spellStart"/>
      <w:r w:rsidRPr="00E74B28">
        <w:rPr>
          <w:rFonts w:cstheme="minorBidi"/>
          <w:bCs/>
        </w:rPr>
        <w:t>wzakresiemetodwsparcia</w:t>
      </w:r>
      <w:proofErr w:type="spellEnd"/>
      <w:r w:rsidRPr="00E74B28">
        <w:rPr>
          <w:rFonts w:cstheme="minorBidi"/>
          <w:bCs/>
        </w:rPr>
        <w:t xml:space="preserve"> w </w:t>
      </w:r>
      <w:proofErr w:type="spellStart"/>
      <w:r w:rsidRPr="00E74B28">
        <w:rPr>
          <w:rFonts w:cstheme="minorBidi"/>
          <w:bCs/>
        </w:rPr>
        <w:t>odniesieniudo</w:t>
      </w:r>
      <w:proofErr w:type="spellEnd"/>
      <w:r w:rsidRPr="00E74B28">
        <w:rPr>
          <w:rFonts w:cstheme="minorBidi"/>
          <w:bCs/>
        </w:rPr>
        <w:t xml:space="preserve"> </w:t>
      </w:r>
      <w:proofErr w:type="spellStart"/>
      <w:r w:rsidRPr="00E74B28">
        <w:rPr>
          <w:rFonts w:cstheme="minorBidi"/>
          <w:bCs/>
        </w:rPr>
        <w:t>zmianklimatu,określaniacelówpośrednich</w:t>
      </w:r>
      <w:proofErr w:type="spellEnd"/>
      <w:r w:rsidR="00CB7BEA">
        <w:rPr>
          <w:rFonts w:cstheme="minorBidi"/>
          <w:bCs/>
        </w:rPr>
        <w:br/>
      </w:r>
      <w:proofErr w:type="spellStart"/>
      <w:r w:rsidRPr="00E74B28">
        <w:rPr>
          <w:rFonts w:cstheme="minorBidi"/>
          <w:bCs/>
        </w:rPr>
        <w:t>ikońcowychnapotrzebyramwykonaniaorazklasyfikacji</w:t>
      </w:r>
      <w:proofErr w:type="spellEnd"/>
      <w:r w:rsidRPr="00E74B28">
        <w:rPr>
          <w:rFonts w:cstheme="minorBidi"/>
          <w:bCs/>
        </w:rPr>
        <w:t xml:space="preserve">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w:t>
      </w:r>
      <w:proofErr w:type="spellStart"/>
      <w:r w:rsidRPr="00E74B28">
        <w:rPr>
          <w:rFonts w:cstheme="minorBidi"/>
          <w:bCs/>
        </w:rPr>
        <w:t>rozporządzeniaParlamentuEuropejskiegoi</w:t>
      </w:r>
      <w:proofErr w:type="spellEnd"/>
      <w:r w:rsidRPr="00E74B28">
        <w:rPr>
          <w:rFonts w:cstheme="minorBidi"/>
          <w:bCs/>
        </w:rPr>
        <w:t xml:space="preserve"> Rady(UE)nr1303/2013w </w:t>
      </w:r>
      <w:proofErr w:type="spellStart"/>
      <w:r w:rsidRPr="00E74B28">
        <w:rPr>
          <w:rFonts w:cstheme="minorBidi"/>
          <w:bCs/>
        </w:rPr>
        <w:t>zakresieszczegółowychuregulowańdotyczących</w:t>
      </w:r>
      <w:proofErr w:type="spellEnd"/>
      <w:r w:rsidRPr="00E74B28">
        <w:rPr>
          <w:rFonts w:cstheme="minorBidi"/>
          <w:bCs/>
        </w:rPr>
        <w:t xml:space="preserve"> </w:t>
      </w:r>
      <w:proofErr w:type="spellStart"/>
      <w:r w:rsidRPr="00E74B28">
        <w:rPr>
          <w:rFonts w:cstheme="minorBidi"/>
          <w:bCs/>
        </w:rPr>
        <w:t>transferuwkładówz</w:t>
      </w:r>
      <w:proofErr w:type="spellEnd"/>
      <w:r w:rsidRPr="00E74B28">
        <w:rPr>
          <w:rFonts w:cstheme="minorBidi"/>
          <w:bCs/>
        </w:rPr>
        <w:t xml:space="preserve"> </w:t>
      </w:r>
      <w:proofErr w:type="spellStart"/>
      <w:r w:rsidRPr="00E74B28">
        <w:rPr>
          <w:rFonts w:cstheme="minorBidi"/>
          <w:bCs/>
        </w:rPr>
        <w:t>programówi</w:t>
      </w:r>
      <w:proofErr w:type="spellEnd"/>
      <w:r w:rsidRPr="00E74B28">
        <w:rPr>
          <w:rFonts w:cstheme="minorBidi"/>
          <w:bCs/>
        </w:rPr>
        <w:t xml:space="preserve"> </w:t>
      </w:r>
      <w:proofErr w:type="spellStart"/>
      <w:r w:rsidRPr="00E74B28">
        <w:rPr>
          <w:rFonts w:cstheme="minorBidi"/>
          <w:bCs/>
        </w:rPr>
        <w:t>zarządzanianimi,przekazywaniasprawozdańz</w:t>
      </w:r>
      <w:proofErr w:type="spellEnd"/>
      <w:r w:rsidRPr="00E74B28">
        <w:rPr>
          <w:rFonts w:cstheme="minorBidi"/>
          <w:bCs/>
        </w:rPr>
        <w:t xml:space="preserve"> </w:t>
      </w:r>
      <w:proofErr w:type="spellStart"/>
      <w:r w:rsidRPr="00E74B28">
        <w:rPr>
          <w:rFonts w:cstheme="minorBidi"/>
          <w:bCs/>
        </w:rPr>
        <w:t>wdrażaniainstrumentówfinansowych</w:t>
      </w:r>
      <w:proofErr w:type="spellEnd"/>
      <w:r w:rsidRPr="00E74B28">
        <w:rPr>
          <w:rFonts w:cstheme="minorBidi"/>
          <w:bCs/>
        </w:rPr>
        <w:t xml:space="preserve">, </w:t>
      </w:r>
      <w:proofErr w:type="spellStart"/>
      <w:r w:rsidRPr="00E74B28">
        <w:rPr>
          <w:rFonts w:cstheme="minorBidi"/>
          <w:bCs/>
        </w:rPr>
        <w:t>charakterystykitechnicznejdziałańinformacyjnychi</w:t>
      </w:r>
      <w:proofErr w:type="spellEnd"/>
      <w:r w:rsidRPr="00E74B28">
        <w:rPr>
          <w:rFonts w:cstheme="minorBidi"/>
          <w:bCs/>
        </w:rPr>
        <w:t xml:space="preserve"> </w:t>
      </w:r>
      <w:proofErr w:type="spellStart"/>
      <w:r w:rsidRPr="00E74B28">
        <w:rPr>
          <w:rFonts w:cstheme="minorBidi"/>
          <w:bCs/>
        </w:rPr>
        <w:t>komunikacyjnychw</w:t>
      </w:r>
      <w:proofErr w:type="spellEnd"/>
      <w:r w:rsidRPr="00E74B28">
        <w:rPr>
          <w:rFonts w:cstheme="minorBidi"/>
          <w:bCs/>
        </w:rPr>
        <w:t xml:space="preserve"> </w:t>
      </w:r>
      <w:proofErr w:type="spellStart"/>
      <w:r w:rsidRPr="00E74B28">
        <w:rPr>
          <w:rFonts w:cstheme="minorBidi"/>
          <w:bCs/>
        </w:rPr>
        <w:t>odniesieniudooperacjiorazsystemurejestracji</w:t>
      </w:r>
      <w:proofErr w:type="spellEnd"/>
      <w:r w:rsidRPr="00E74B28">
        <w:rPr>
          <w:rFonts w:cstheme="minorBidi"/>
          <w:bCs/>
        </w:rPr>
        <w:t xml:space="preserve">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w:t>
      </w:r>
      <w:proofErr w:type="spellStart"/>
      <w:r w:rsidRPr="00E74B28">
        <w:rPr>
          <w:rFonts w:cstheme="minorBidi"/>
          <w:bCs/>
        </w:rPr>
        <w:t>ustanawiającezasadystosowania</w:t>
      </w:r>
      <w:proofErr w:type="spellEnd"/>
      <w:r w:rsidRPr="00E74B28">
        <w:rPr>
          <w:rFonts w:cstheme="minorBidi"/>
          <w:bCs/>
        </w:rPr>
        <w:t xml:space="preserve">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w:t>
      </w:r>
      <w:proofErr w:type="spellStart"/>
      <w:r w:rsidRPr="00E74B28">
        <w:rPr>
          <w:rFonts w:cstheme="minorBidi"/>
          <w:bCs/>
        </w:rPr>
        <w:t>instytucjamizarządzającymi</w:t>
      </w:r>
      <w:proofErr w:type="spellEnd"/>
      <w:r w:rsidRPr="00E74B28">
        <w:rPr>
          <w:rFonts w:cstheme="minorBidi"/>
          <w:bCs/>
        </w:rPr>
        <w:t>,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wykonawcza KE z 18 lutego 2014 nr 2014/99/EU ustanawiająca wykaz regionów kwalifikujących się do finansowania z </w:t>
      </w:r>
      <w:proofErr w:type="spellStart"/>
      <w:r w:rsidRPr="00E74B28">
        <w:rPr>
          <w:rFonts w:cstheme="minorBidi"/>
          <w:bCs/>
        </w:rPr>
        <w:t>EuropejskiegoFunduszuRozwojuRegionalnego</w:t>
      </w:r>
      <w:proofErr w:type="spellEnd"/>
      <w:r w:rsidR="00CB7BEA">
        <w:rPr>
          <w:rFonts w:cstheme="minorBidi"/>
          <w:bCs/>
        </w:rPr>
        <w:br/>
      </w:r>
      <w:proofErr w:type="spellStart"/>
      <w:r w:rsidRPr="00E74B28">
        <w:rPr>
          <w:rFonts w:cstheme="minorBidi"/>
          <w:bCs/>
        </w:rPr>
        <w:t>iEuropejskiego</w:t>
      </w:r>
      <w:proofErr w:type="spellEnd"/>
      <w:r w:rsidRPr="00E74B28">
        <w:rPr>
          <w:rFonts w:cstheme="minorBidi"/>
          <w:bCs/>
        </w:rPr>
        <w:t xml:space="preserve"> </w:t>
      </w:r>
      <w:proofErr w:type="spellStart"/>
      <w:r w:rsidRPr="00E74B28">
        <w:rPr>
          <w:rFonts w:cstheme="minorBidi"/>
          <w:bCs/>
        </w:rPr>
        <w:t>FunduszuSpołecznegoorazpaństwczłonkowskich</w:t>
      </w:r>
      <w:proofErr w:type="spellEnd"/>
      <w:r w:rsidRPr="00E74B28">
        <w:rPr>
          <w:rFonts w:cstheme="minorBidi"/>
          <w:bCs/>
        </w:rPr>
        <w:t xml:space="preserve">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 xml:space="preserve">i108Traktatu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proofErr w:type="spellStart"/>
      <w:r w:rsidRPr="00E74B28">
        <w:rPr>
          <w:rFonts w:cstheme="minorBidi"/>
          <w:bCs/>
        </w:rPr>
        <w:t>wodniesieniudo</w:t>
      </w:r>
      <w:proofErr w:type="spellEnd"/>
      <w:r w:rsidRPr="00E74B28">
        <w:rPr>
          <w:rFonts w:cstheme="minorBidi"/>
          <w:bCs/>
        </w:rPr>
        <w:t xml:space="preserve">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 w sprawie stosowania art107i108Traktatudopomocyde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proofErr w:type="spellStart"/>
      <w:r w:rsidRPr="00E74B28">
        <w:rPr>
          <w:rFonts w:cstheme="minorBidi"/>
          <w:bCs/>
        </w:rPr>
        <w:t>KomunikatKomisji</w:t>
      </w:r>
      <w:proofErr w:type="spellEnd"/>
      <w:r w:rsidRPr="00E74B28">
        <w:rPr>
          <w:rFonts w:cstheme="minorBidi"/>
          <w:bCs/>
        </w:rPr>
        <w:t xml:space="preserve">: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 xml:space="preserve">Dz. U. z 2016 r. poz. 1161z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Wytycznedlapaństwczłonkowskichiinstytucjidotyczące</w:t>
      </w:r>
      <w:proofErr w:type="spellEnd"/>
      <w:r w:rsidRPr="00E74B28">
        <w:rPr>
          <w:rFonts w:cstheme="minorBidi"/>
          <w:bCs/>
        </w:rPr>
        <w:t xml:space="preserve"> </w:t>
      </w:r>
      <w:proofErr w:type="spellStart"/>
      <w:r w:rsidRPr="00E74B28">
        <w:rPr>
          <w:rFonts w:cstheme="minorBidi"/>
          <w:bCs/>
        </w:rPr>
        <w:t>ewaluacjii</w:t>
      </w:r>
      <w:r w:rsidR="00D210D9">
        <w:rPr>
          <w:rFonts w:cstheme="minorBidi"/>
          <w:bCs/>
        </w:rPr>
        <w:t>monitoringu</w:t>
      </w:r>
      <w:proofErr w:type="spellEnd"/>
      <w:r w:rsidR="00D210D9">
        <w:rPr>
          <w:rFonts w:cstheme="minorBidi"/>
          <w:bCs/>
        </w:rPr>
        <w:t xml:space="preserve">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Wytycznedlapaństwczłonkowskichiinstytucjiws.procedury</w:t>
      </w:r>
      <w:r w:rsidR="00D210D9">
        <w:rPr>
          <w:rFonts w:cstheme="minorBidi"/>
          <w:bCs/>
        </w:rPr>
        <w:t>desygnacji</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w:t>
      </w:r>
      <w:proofErr w:type="spellStart"/>
      <w:r w:rsidRPr="00E74B28">
        <w:rPr>
          <w:rFonts w:cstheme="minorBidi"/>
          <w:bCs/>
        </w:rPr>
        <w:t>metodologiiocenysystemówzarządzaniaikontroliwpaństwach</w:t>
      </w:r>
      <w:proofErr w:type="spellEnd"/>
      <w:r w:rsidRPr="00E74B28">
        <w:rPr>
          <w:rFonts w:cstheme="minorBidi"/>
          <w:bCs/>
        </w:rPr>
        <w:t xml:space="preserve">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proofErr w:type="spellStart"/>
      <w:r w:rsidRPr="00E74B28">
        <w:rPr>
          <w:rFonts w:cstheme="minorBidi"/>
          <w:bCs/>
        </w:rPr>
        <w:t>Zamówieniapubliczne</w:t>
      </w:r>
      <w:proofErr w:type="spellEnd"/>
      <w:r w:rsidRPr="00E74B28">
        <w:rPr>
          <w:rFonts w:cstheme="minorBidi"/>
          <w:bCs/>
        </w:rPr>
        <w:t xml:space="preserve"> </w:t>
      </w:r>
      <w:proofErr w:type="spellStart"/>
      <w:r w:rsidRPr="00E74B28">
        <w:rPr>
          <w:rFonts w:cstheme="minorBidi"/>
          <w:bCs/>
        </w:rPr>
        <w:t>praktycznyprzewodnikwzakresieunikanianajczęściej</w:t>
      </w:r>
      <w:proofErr w:type="spellEnd"/>
      <w:r w:rsidRPr="00E74B28">
        <w:rPr>
          <w:rFonts w:cstheme="minorBidi"/>
          <w:bCs/>
        </w:rPr>
        <w:t xml:space="preserve"> </w:t>
      </w:r>
      <w:proofErr w:type="spellStart"/>
      <w:r w:rsidRPr="00E74B28">
        <w:rPr>
          <w:rFonts w:cstheme="minorBidi"/>
          <w:bCs/>
        </w:rPr>
        <w:t>popełnianychbłędów</w:t>
      </w:r>
      <w:proofErr w:type="spellEnd"/>
      <w:r w:rsidRPr="00E74B28">
        <w:rPr>
          <w:rFonts w:cstheme="minorBidi"/>
          <w:bCs/>
        </w:rPr>
        <w:t xml:space="preserve">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 xml:space="preserve">Wytyczne w zakresie </w:t>
      </w:r>
      <w:proofErr w:type="spellStart"/>
      <w:r w:rsidRPr="00E74B28">
        <w:rPr>
          <w:rFonts w:cstheme="minorBidi"/>
          <w:bCs/>
        </w:rPr>
        <w:t>monitorowaniapostępu</w:t>
      </w:r>
      <w:proofErr w:type="spellEnd"/>
      <w:r w:rsidRPr="00E74B28">
        <w:rPr>
          <w:rFonts w:cstheme="minorBidi"/>
          <w:bCs/>
        </w:rPr>
        <w:t xml:space="preserve">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proofErr w:type="spellStart"/>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roofErr w:type="spellEnd"/>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w:t>
            </w:r>
            <w:proofErr w:type="spellStart"/>
            <w:r w:rsidRPr="00860BA1">
              <w:rPr>
                <w:bCs/>
                <w:color w:val="000000"/>
                <w:sz w:val="20"/>
                <w:szCs w:val="20"/>
              </w:rPr>
              <w:t>instytucjeproinnowacyjne</w:t>
            </w:r>
            <w:proofErr w:type="spellEnd"/>
            <w:r w:rsidRPr="00860BA1">
              <w:rPr>
                <w:bCs/>
                <w:color w:val="000000"/>
                <w:sz w:val="20"/>
                <w:szCs w:val="20"/>
              </w:rPr>
              <w:t xml:space="preserv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Oznacza </w:t>
            </w:r>
            <w:proofErr w:type="spellStart"/>
            <w:r w:rsidRPr="00860BA1">
              <w:rPr>
                <w:bCs/>
                <w:color w:val="000000"/>
                <w:sz w:val="20"/>
                <w:szCs w:val="20"/>
              </w:rPr>
              <w:t>grupęjednostek</w:t>
            </w:r>
            <w:proofErr w:type="spellEnd"/>
            <w:r w:rsidRPr="00860BA1">
              <w:rPr>
                <w:bCs/>
                <w:color w:val="000000"/>
                <w:sz w:val="20"/>
                <w:szCs w:val="20"/>
              </w:rPr>
              <w:t xml:space="preserve">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w:t>
            </w:r>
            <w:proofErr w:type="spellStart"/>
            <w:r w:rsidRPr="00860BA1">
              <w:rPr>
                <w:bCs/>
                <w:color w:val="000000"/>
                <w:sz w:val="20"/>
                <w:szCs w:val="20"/>
              </w:rPr>
              <w:t>iżliderem</w:t>
            </w:r>
            <w:proofErr w:type="spellEnd"/>
            <w:r w:rsidRPr="00860BA1">
              <w:rPr>
                <w:bCs/>
                <w:color w:val="000000"/>
                <w:sz w:val="20"/>
                <w:szCs w:val="20"/>
              </w:rPr>
              <w:t xml:space="preserve">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w:t>
            </w:r>
            <w:proofErr w:type="spellStart"/>
            <w:r w:rsidRPr="00860BA1">
              <w:rPr>
                <w:bCs/>
                <w:color w:val="000000"/>
                <w:sz w:val="20"/>
                <w:szCs w:val="20"/>
              </w:rPr>
              <w:t>samochodyprywatne</w:t>
            </w:r>
            <w:proofErr w:type="spellEnd"/>
            <w:r w:rsidRPr="00860BA1">
              <w:rPr>
                <w:bCs/>
                <w:color w:val="000000"/>
                <w:sz w:val="20"/>
                <w:szCs w:val="20"/>
              </w:rPr>
              <w:t>,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EuropeanComputerDrivingLicence</w:t>
      </w:r>
      <w:proofErr w:type="spellEnd"/>
      <w:r w:rsidRPr="006F07DD">
        <w:rPr>
          <w:rFonts w:eastAsia="Calibri" w:cs="Times New Roman"/>
          <w:color w:val="000000"/>
        </w:rPr>
        <w:t xml:space="preserv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EuropejskiFundusz</w:t>
      </w:r>
      <w:proofErr w:type="spellEnd"/>
      <w:r w:rsidRPr="006F07DD">
        <w:rPr>
          <w:rFonts w:eastAsia="Calibri" w:cs="Times New Roman"/>
          <w:color w:val="000000"/>
        </w:rPr>
        <w:t xml:space="preserve">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 xml:space="preserve">Instalacje do </w:t>
      </w:r>
      <w:proofErr w:type="spellStart"/>
      <w:r w:rsidRPr="006F07DD">
        <w:rPr>
          <w:rFonts w:eastAsia="Calibri" w:cs="Times New Roman"/>
          <w:color w:val="000000"/>
        </w:rPr>
        <w:t>Mechaniczno</w:t>
      </w:r>
      <w:proofErr w:type="spellEnd"/>
      <w:r w:rsidRPr="006F07DD">
        <w:rPr>
          <w:rFonts w:eastAsia="Calibri" w:cs="Times New Roman"/>
          <w:color w:val="000000"/>
        </w:rPr>
        <w:t xml:space="preserve">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IntelligentTransportation</w:t>
      </w:r>
      <w:r w:rsidRPr="006F07DD">
        <w:rPr>
          <w:rFonts w:eastAsia="Calibri" w:cs="Times New Roman"/>
          <w:iCs/>
        </w:rPr>
        <w:t>Systems</w:t>
      </w:r>
      <w:proofErr w:type="spellEnd"/>
      <w:r w:rsidRPr="006F07DD">
        <w:rPr>
          <w:rFonts w:eastAsia="Calibri" w:cs="Times New Roman"/>
          <w:iCs/>
        </w:rPr>
        <w:t xml:space="preserve">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r>
      <w:proofErr w:type="spellStart"/>
      <w:r w:rsidRPr="006F07DD">
        <w:rPr>
          <w:rFonts w:eastAsia="Calibri" w:cs="Times New Roman"/>
          <w:color w:val="000000"/>
        </w:rPr>
        <w:t>Państwowe</w:t>
      </w:r>
      <w:proofErr w:type="spellEnd"/>
      <w:r w:rsidRPr="006F07DD">
        <w:rPr>
          <w:rFonts w:eastAsia="Calibri" w:cs="Times New Roman"/>
          <w:color w:val="000000"/>
        </w:rPr>
        <w:t xml:space="preserv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4002EFF" w:usb1="C000247B"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Gothic"/>
    <w:charset w:val="80"/>
    <w:family w:val="auto"/>
    <w:pitch w:val="variable"/>
    <w:sig w:usb0="00000000"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0F4887">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0F4887">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7782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4887"/>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148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B14"/>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362"/>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2D4A"/>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3C7E"/>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37A"/>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34F"/>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19766-DC1A-4DCE-901F-0827B97B2A3F}">
  <ds:schemaRefs>
    <ds:schemaRef ds:uri="http://schemas.openxmlformats.org/officeDocument/2006/bibliography"/>
  </ds:schemaRefs>
</ds:datastoreItem>
</file>

<file path=customXml/itemProps2.xml><?xml version="1.0" encoding="utf-8"?>
<ds:datastoreItem xmlns:ds="http://schemas.openxmlformats.org/officeDocument/2006/customXml" ds:itemID="{329572B6-F6E1-4092-8875-0A050E0D2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5934</Words>
  <Characters>35608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Jakub Borowski</cp:lastModifiedBy>
  <cp:revision>52</cp:revision>
  <cp:lastPrinted>2017-03-28T07:27:00Z</cp:lastPrinted>
  <dcterms:created xsi:type="dcterms:W3CDTF">2018-08-31T06:31:00Z</dcterms:created>
  <dcterms:modified xsi:type="dcterms:W3CDTF">2021-05-05T06:14:00Z</dcterms:modified>
</cp:coreProperties>
</file>